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Экспертное сопровождение до направления результатов инженерных изысканий и (или) проектной документации на экспертизу (далее - экспертное сопровождение) осуществляется по решению застройщика или технического заказчика. Заключение договора и проведение экспертного сопровождения осуществляются до направления результатов инженерных изысканий и (или) проектной документации на экспертизу проектной документации и (или) экспертизу результатов инженерных изысканий.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Договор об экспертном сопровождении заключается на 1 год. Документации (результаты инженерных изысканий и (или) проектная документация) направляется заявителем в экспертную организацию для экспертного сопровождения в течение срока действия договора, но не позднее 22 рабочих дней до дня завершения срока его действия.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Срок действия договора об экспертном сопровождении может быть продлен по инициативе заявителя.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Bold" w:hAnsi="Bold"/>
          <w:color w:val="054A60"/>
          <w:sz w:val="27"/>
          <w:szCs w:val="27"/>
        </w:rPr>
        <w:t>Порядок подачи</w:t>
      </w:r>
      <w:r w:rsidRPr="0050069A">
        <w:rPr>
          <w:rFonts w:ascii="Regular" w:hAnsi="Regular"/>
          <w:color w:val="054A60"/>
          <w:sz w:val="27"/>
          <w:szCs w:val="27"/>
        </w:rPr>
        <w:t>: Проектная документация, а также иные документы, необходимые для проведения экспертного сопровождения, представляются в экспертную организацию только в электронной форме. Документы, представляемые в электронной форме, подписываются руководителем организации или уполномоченным им лицом с использованием усиленной квалифицированной электронной подписи, предусмотренной Федеральным </w:t>
      </w:r>
      <w:hyperlink r:id="rId6" w:history="1">
        <w:r w:rsidRPr="0050069A">
          <w:rPr>
            <w:rFonts w:ascii="Regular" w:hAnsi="Regular"/>
            <w:color w:val="004A60"/>
            <w:sz w:val="27"/>
            <w:szCs w:val="27"/>
          </w:rPr>
          <w:t>законом</w:t>
        </w:r>
      </w:hyperlink>
      <w:r w:rsidRPr="0050069A">
        <w:rPr>
          <w:rFonts w:ascii="Regular" w:hAnsi="Regular"/>
          <w:color w:val="054A60"/>
          <w:sz w:val="27"/>
          <w:szCs w:val="27"/>
        </w:rPr>
        <w:t> "Об электронной подписи".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Требования к формату электронных документов, представляемых для проведения экспертного сопровождения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строительства, утверждены приказом Министерства строительства и жилищно-коммунального хозяйства Российской Федерации от 12 мая 2017 г. N 783/пр.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В рамках договора на экспертное сопровождение</w:t>
      </w:r>
      <w:r w:rsidRPr="0050069A">
        <w:rPr>
          <w:rFonts w:ascii="Bold" w:hAnsi="Bold"/>
          <w:color w:val="054A60"/>
          <w:sz w:val="27"/>
          <w:szCs w:val="27"/>
        </w:rPr>
        <w:t> </w:t>
      </w:r>
      <w:r w:rsidRPr="0050069A">
        <w:rPr>
          <w:rFonts w:ascii="Regular" w:hAnsi="Regular"/>
          <w:color w:val="054A60"/>
          <w:sz w:val="27"/>
          <w:szCs w:val="27"/>
        </w:rPr>
        <w:t xml:space="preserve">для проведения оценок заявителем в экспертную организацию направляются результаты инженерных изысканий и (или) проектная документация. </w:t>
      </w:r>
      <w:proofErr w:type="gramStart"/>
      <w:r w:rsidRPr="0050069A">
        <w:rPr>
          <w:rFonts w:ascii="Regular" w:hAnsi="Regular"/>
          <w:color w:val="054A60"/>
          <w:sz w:val="27"/>
          <w:szCs w:val="27"/>
        </w:rPr>
        <w:t>Оценка инженерных изысканий и (или) разделов проектной документации (далее экспертное сопровождение) объектов капитального строительства, финансирование строительства, реконструкции которых осуществляется с привлечением средств бюджетов бюджетной системы Российской Федерации, средств государственных компаний и корпораций, </w:t>
      </w:r>
      <w:r w:rsidRPr="0050069A">
        <w:rPr>
          <w:rFonts w:ascii="Bold" w:hAnsi="Bold"/>
          <w:color w:val="054A60"/>
          <w:sz w:val="27"/>
          <w:szCs w:val="27"/>
        </w:rPr>
        <w:t>начинается</w:t>
      </w:r>
      <w:r w:rsidRPr="0050069A">
        <w:rPr>
          <w:rFonts w:ascii="Regular" w:hAnsi="Regular"/>
          <w:color w:val="054A60"/>
          <w:sz w:val="27"/>
          <w:szCs w:val="27"/>
        </w:rPr>
        <w:t> со дня направления заявителю расчета платы за экспертное сопровождение инженерных изысканий и (или) разделов проектной документации, а также сведений о предельном сроке осуществления экспертного сопровождения.</w:t>
      </w:r>
      <w:proofErr w:type="gramEnd"/>
      <w:r w:rsidRPr="0050069A">
        <w:rPr>
          <w:rFonts w:ascii="Regular" w:hAnsi="Regular"/>
          <w:color w:val="054A60"/>
          <w:sz w:val="27"/>
          <w:szCs w:val="27"/>
        </w:rPr>
        <w:t xml:space="preserve"> При экспертном сопровождении одновременно результатов инженерных изысканий и разделов проектной документации оценка разделов проектной документации начинается со дня направления экспертной организацией </w:t>
      </w:r>
      <w:r w:rsidRPr="0050069A">
        <w:rPr>
          <w:rFonts w:ascii="Regular" w:hAnsi="Regular"/>
          <w:color w:val="054A60"/>
          <w:sz w:val="27"/>
          <w:szCs w:val="27"/>
        </w:rPr>
        <w:lastRenderedPageBreak/>
        <w:t>заявителю заключения о согласовании результатов инженерных изысканий.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Bold" w:hAnsi="Bold"/>
          <w:color w:val="054A60"/>
          <w:sz w:val="27"/>
          <w:szCs w:val="27"/>
        </w:rPr>
        <w:t>Размер платы</w:t>
      </w:r>
      <w:r w:rsidRPr="0050069A">
        <w:rPr>
          <w:rFonts w:ascii="Regular" w:hAnsi="Regular"/>
          <w:color w:val="054A60"/>
          <w:sz w:val="27"/>
          <w:szCs w:val="27"/>
        </w:rPr>
        <w:t> за экспертное сопровождение взимается плата, размер которой определяется по следующей формуле (п.35 ППРФ 717 от 06.05.2023):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50069A">
        <w:rPr>
          <w:rFonts w:ascii="Regular" w:hAnsi="Regular"/>
          <w:color w:val="054A60"/>
          <w:sz w:val="27"/>
          <w:szCs w:val="27"/>
        </w:rPr>
        <w:t>Р</w:t>
      </w:r>
      <w:proofErr w:type="gramEnd"/>
      <w:r w:rsidRPr="0050069A">
        <w:rPr>
          <w:rFonts w:ascii="Regular" w:hAnsi="Regular"/>
          <w:color w:val="054A60"/>
          <w:sz w:val="27"/>
          <w:szCs w:val="27"/>
        </w:rPr>
        <w:t xml:space="preserve"> = РП x СП,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где: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50069A">
        <w:rPr>
          <w:rFonts w:ascii="Regular" w:hAnsi="Regular"/>
          <w:color w:val="054A60"/>
          <w:sz w:val="27"/>
          <w:szCs w:val="27"/>
        </w:rPr>
        <w:t>Р</w:t>
      </w:r>
      <w:proofErr w:type="gramEnd"/>
      <w:r w:rsidRPr="0050069A">
        <w:rPr>
          <w:rFonts w:ascii="Regular" w:hAnsi="Regular"/>
          <w:color w:val="054A60"/>
          <w:sz w:val="27"/>
          <w:szCs w:val="27"/>
        </w:rPr>
        <w:t xml:space="preserve"> - размер платы за экспертное сопровождение;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50069A">
        <w:rPr>
          <w:rFonts w:ascii="Regular" w:hAnsi="Regular"/>
          <w:color w:val="054A60"/>
          <w:sz w:val="27"/>
          <w:szCs w:val="27"/>
        </w:rPr>
        <w:t>РП - размер платы за проведение государственной экспертизы </w:t>
      </w:r>
      <w:r w:rsidRPr="0050069A">
        <w:rPr>
          <w:rFonts w:ascii="Bold" w:hAnsi="Bold"/>
          <w:color w:val="054A60"/>
          <w:sz w:val="27"/>
          <w:szCs w:val="27"/>
        </w:rPr>
        <w:t>проектной документации</w:t>
      </w:r>
      <w:r w:rsidRPr="0050069A">
        <w:rPr>
          <w:rFonts w:ascii="Regular" w:hAnsi="Regular"/>
          <w:color w:val="054A60"/>
          <w:sz w:val="27"/>
          <w:szCs w:val="27"/>
        </w:rPr>
        <w:t> (</w:t>
      </w:r>
      <w:r w:rsidRPr="0050069A">
        <w:rPr>
          <w:rFonts w:ascii="Regular" w:hAnsi="Regular"/>
          <w:i/>
          <w:iCs/>
          <w:color w:val="054A60"/>
          <w:sz w:val="27"/>
          <w:szCs w:val="27"/>
        </w:rPr>
        <w:t>выполненной в полном объеме</w:t>
      </w:r>
      <w:r w:rsidRPr="0050069A">
        <w:rPr>
          <w:rFonts w:ascii="Regular" w:hAnsi="Regular"/>
          <w:color w:val="054A60"/>
          <w:sz w:val="27"/>
          <w:szCs w:val="27"/>
        </w:rPr>
        <w:t>) и (или) </w:t>
      </w:r>
      <w:r w:rsidRPr="0050069A">
        <w:rPr>
          <w:rFonts w:ascii="Bold" w:hAnsi="Bold"/>
          <w:color w:val="054A60"/>
          <w:sz w:val="27"/>
          <w:szCs w:val="27"/>
        </w:rPr>
        <w:t>результатов инженерных изысканий</w:t>
      </w:r>
      <w:r w:rsidRPr="0050069A">
        <w:rPr>
          <w:rFonts w:ascii="Regular" w:hAnsi="Regular"/>
          <w:color w:val="054A60"/>
          <w:sz w:val="27"/>
          <w:szCs w:val="27"/>
        </w:rPr>
        <w:t>, </w:t>
      </w:r>
      <w:r w:rsidRPr="0050069A">
        <w:rPr>
          <w:rFonts w:ascii="Regular" w:hAnsi="Regular"/>
          <w:i/>
          <w:iCs/>
          <w:color w:val="054A60"/>
          <w:sz w:val="27"/>
          <w:szCs w:val="27"/>
        </w:rPr>
        <w:t>рассчитанный на день представления документов на оценку</w:t>
      </w:r>
      <w:r w:rsidRPr="0050069A">
        <w:rPr>
          <w:rFonts w:ascii="Regular" w:hAnsi="Regular"/>
          <w:color w:val="054A60"/>
          <w:sz w:val="27"/>
          <w:szCs w:val="27"/>
        </w:rPr>
        <w:t>, с учетом коэффициента, отражающего инфляционные процессы по сравнению с 1 января 2001 г., и процента суммарной стоимости проектных и изыскательских работ (% из приложения № 1 к ППРФ 145);</w:t>
      </w:r>
      <w:proofErr w:type="gramEnd"/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СП - </w:t>
      </w:r>
      <w:r w:rsidRPr="0050069A">
        <w:rPr>
          <w:rFonts w:ascii="Bold" w:hAnsi="Bold"/>
          <w:color w:val="054A60"/>
          <w:sz w:val="27"/>
          <w:szCs w:val="27"/>
        </w:rPr>
        <w:t>суммарная относительная стоимость</w:t>
      </w:r>
      <w:r w:rsidRPr="0050069A">
        <w:rPr>
          <w:rFonts w:ascii="Regular" w:hAnsi="Regular"/>
          <w:color w:val="054A60"/>
          <w:sz w:val="27"/>
          <w:szCs w:val="27"/>
        </w:rPr>
        <w:t> проектных работ по разделам проектной документации </w:t>
      </w:r>
      <w:r w:rsidRPr="0050069A">
        <w:rPr>
          <w:rFonts w:ascii="Bold" w:hAnsi="Bold"/>
          <w:color w:val="054A60"/>
          <w:sz w:val="27"/>
          <w:szCs w:val="27"/>
        </w:rPr>
        <w:t>и (или)</w:t>
      </w:r>
      <w:r w:rsidRPr="0050069A">
        <w:rPr>
          <w:rFonts w:ascii="Regular" w:hAnsi="Regular"/>
          <w:color w:val="054A60"/>
          <w:sz w:val="27"/>
          <w:szCs w:val="27"/>
        </w:rPr>
        <w:t> изыскательских работ, представленным для проведения оценки соответствия, рассчитанная в ценах 2001 года в соответствии со сметными нормативами, сведения о которых включены в федеральный реестр сметных нормативов (</w:t>
      </w:r>
      <w:r w:rsidRPr="0050069A">
        <w:rPr>
          <w:rFonts w:ascii="Bold" w:hAnsi="Bold"/>
          <w:color w:val="054A60"/>
          <w:sz w:val="27"/>
          <w:szCs w:val="27"/>
        </w:rPr>
        <w:t>процентов</w:t>
      </w:r>
      <w:r w:rsidRPr="0050069A">
        <w:rPr>
          <w:rFonts w:ascii="Regular" w:hAnsi="Regular"/>
          <w:color w:val="054A60"/>
          <w:sz w:val="27"/>
          <w:szCs w:val="27"/>
        </w:rPr>
        <w:t>).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В размере указанной платы учитывается сумма налога на добавленную стоимость.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Bold" w:hAnsi="Bold"/>
          <w:color w:val="054A60"/>
          <w:sz w:val="27"/>
          <w:szCs w:val="27"/>
        </w:rPr>
        <w:t>Срок проведения оценки соответствия в рамках экспертного сопровождения</w:t>
      </w:r>
      <w:r w:rsidRPr="0050069A">
        <w:rPr>
          <w:rFonts w:ascii="Regular" w:hAnsi="Regular"/>
          <w:color w:val="054A60"/>
          <w:sz w:val="27"/>
          <w:szCs w:val="27"/>
        </w:rPr>
        <w:t> не должен превышать 20 рабочих дней со дня начала экспертного сопровождения.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Указанный срок может быть продлен экспертной организацией: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50069A">
        <w:rPr>
          <w:rFonts w:ascii="Regular" w:hAnsi="Regular"/>
          <w:color w:val="054A60"/>
          <w:sz w:val="27"/>
          <w:szCs w:val="27"/>
        </w:rPr>
        <w:t>- не более чем на 10 рабочих дней в случае экспертного сопровождения одновременно результатов инженерных изысканий и разделов проектной документации и в случае экспертного сопровождения разделов проектной документации, если на такое экспертное сопровождение представлено от 2 до 4 разделов проектной документации из состава разделов проектной документации, подлежащих разработке в соответствии с постановлением Правительства Российской Федерации от 16 февраля 2008 г. N</w:t>
      </w:r>
      <w:proofErr w:type="gramEnd"/>
      <w:r w:rsidRPr="0050069A">
        <w:rPr>
          <w:rFonts w:ascii="Regular" w:hAnsi="Regular"/>
          <w:color w:val="054A60"/>
          <w:sz w:val="27"/>
          <w:szCs w:val="27"/>
        </w:rPr>
        <w:t xml:space="preserve"> 87 "О составе разделов проектной документации и требованиях к их содержанию";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proofErr w:type="gramStart"/>
      <w:r w:rsidRPr="0050069A">
        <w:rPr>
          <w:rFonts w:ascii="Regular" w:hAnsi="Regular"/>
          <w:color w:val="054A60"/>
          <w:sz w:val="27"/>
          <w:szCs w:val="27"/>
        </w:rPr>
        <w:t xml:space="preserve">- не более чем на 15 рабочих дней, если для проведения оценки разделов проектной документации представлено 5 и более разделов проектной документации из состава разделов проектной документации, подлежащих </w:t>
      </w:r>
      <w:r w:rsidRPr="0050069A">
        <w:rPr>
          <w:rFonts w:ascii="Regular" w:hAnsi="Regular"/>
          <w:color w:val="054A60"/>
          <w:sz w:val="27"/>
          <w:szCs w:val="27"/>
        </w:rPr>
        <w:lastRenderedPageBreak/>
        <w:t>разработке в соответствии с постановлением Правительства Российской Федерации от 16 февраля 2008 г. N 87 "О составе разделов проектной документации и требованиях к их содержанию".</w:t>
      </w:r>
      <w:proofErr w:type="gramEnd"/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Срок экспертного сопровождения, в том числе продленный экспертной организацией, может быть однократно продлен по инициативе заявителя не более чем на 10 рабочих дней в порядке, установленном договором.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Regular" w:hAnsi="Regular"/>
          <w:color w:val="054A60"/>
          <w:sz w:val="27"/>
          <w:szCs w:val="27"/>
        </w:rPr>
        <w:t>В ходе экспертного сопровождения может осуществляться оперативное внесение изменений в разделы (части разделов) проектной документации и (или) результаты инженерных изысканий в порядке, предусмотренном договором</w:t>
      </w:r>
    </w:p>
    <w:p w:rsidR="0050069A" w:rsidRPr="0050069A" w:rsidRDefault="0050069A" w:rsidP="0050069A">
      <w:pPr>
        <w:shd w:val="clear" w:color="auto" w:fill="F7F8FA"/>
        <w:autoSpaceDE/>
        <w:autoSpaceDN/>
        <w:spacing w:after="225"/>
        <w:jc w:val="both"/>
        <w:rPr>
          <w:rFonts w:ascii="Regular" w:hAnsi="Regular"/>
          <w:color w:val="054A60"/>
          <w:sz w:val="27"/>
          <w:szCs w:val="27"/>
        </w:rPr>
      </w:pPr>
      <w:r w:rsidRPr="0050069A">
        <w:rPr>
          <w:rFonts w:ascii="Bold" w:hAnsi="Bold"/>
          <w:color w:val="054A60"/>
          <w:sz w:val="27"/>
          <w:szCs w:val="27"/>
        </w:rPr>
        <w:t>Результатом экспертного сопровождения </w:t>
      </w:r>
      <w:r w:rsidRPr="0050069A">
        <w:rPr>
          <w:rFonts w:ascii="Regular" w:hAnsi="Regular"/>
          <w:color w:val="054A60"/>
          <w:sz w:val="27"/>
          <w:szCs w:val="27"/>
        </w:rPr>
        <w:t xml:space="preserve">является заключение о согласовании или о несогласовании результатов инженерных изысканий и (или) проектной документации, содержащее вывод о подтверждении или </w:t>
      </w:r>
      <w:proofErr w:type="spellStart"/>
      <w:r w:rsidRPr="0050069A">
        <w:rPr>
          <w:rFonts w:ascii="Regular" w:hAnsi="Regular"/>
          <w:color w:val="054A60"/>
          <w:sz w:val="27"/>
          <w:szCs w:val="27"/>
        </w:rPr>
        <w:t>неподтверждении</w:t>
      </w:r>
      <w:proofErr w:type="spellEnd"/>
      <w:r w:rsidRPr="0050069A">
        <w:rPr>
          <w:rFonts w:ascii="Regular" w:hAnsi="Regular"/>
          <w:color w:val="054A60"/>
          <w:sz w:val="27"/>
          <w:szCs w:val="27"/>
        </w:rPr>
        <w:t xml:space="preserve"> соответствия представленных для экспертной оценки документации требованиям технических регламентов и другим нормативным требованиям.</w:t>
      </w:r>
    </w:p>
    <w:p w:rsidR="00C47E96" w:rsidRPr="00C47E96" w:rsidRDefault="00C47E96" w:rsidP="00C47E96">
      <w:pPr>
        <w:shd w:val="clear" w:color="auto" w:fill="F7F8FA"/>
        <w:autoSpaceDE/>
        <w:autoSpaceDN/>
        <w:spacing w:after="100" w:afterAutospacing="1" w:line="600" w:lineRule="atLeast"/>
        <w:outlineLvl w:val="2"/>
        <w:rPr>
          <w:rFonts w:ascii="Regular" w:hAnsi="Regular"/>
          <w:color w:val="054A60"/>
          <w:sz w:val="45"/>
          <w:szCs w:val="45"/>
        </w:rPr>
      </w:pPr>
      <w:r w:rsidRPr="00C47E96">
        <w:rPr>
          <w:rFonts w:ascii="Regular" w:hAnsi="Regular"/>
          <w:color w:val="054A60"/>
          <w:sz w:val="45"/>
          <w:szCs w:val="45"/>
        </w:rPr>
        <w:t>Порядок работы</w:t>
      </w:r>
    </w:p>
    <w:p w:rsidR="00C47E96" w:rsidRPr="00C47E96" w:rsidRDefault="00C47E96" w:rsidP="00C47E96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C47E96">
        <w:rPr>
          <w:rFonts w:ascii="Bold" w:hAnsi="Bold"/>
          <w:color w:val="FFFFFF"/>
          <w:sz w:val="68"/>
          <w:szCs w:val="68"/>
          <w:shd w:val="clear" w:color="auto" w:fill="008985"/>
        </w:rPr>
        <w:t>1</w:t>
      </w:r>
      <w:r w:rsidRPr="00C47E96">
        <w:rPr>
          <w:rFonts w:ascii="Bold" w:hAnsi="Bold"/>
          <w:color w:val="054A60"/>
          <w:sz w:val="36"/>
          <w:szCs w:val="36"/>
        </w:rPr>
        <w:t>Заключить договор</w:t>
      </w:r>
    </w:p>
    <w:p w:rsidR="00C47E96" w:rsidRPr="00C47E96" w:rsidRDefault="00C47E96" w:rsidP="00C47E96">
      <w:pPr>
        <w:shd w:val="clear" w:color="auto" w:fill="F7F8FA"/>
        <w:autoSpaceDE/>
        <w:autoSpaceDN/>
        <w:spacing w:after="225" w:line="390" w:lineRule="atLeast"/>
        <w:rPr>
          <w:rFonts w:ascii="Regular" w:hAnsi="Regular"/>
          <w:color w:val="054A60"/>
          <w:sz w:val="24"/>
          <w:szCs w:val="24"/>
        </w:rPr>
      </w:pPr>
      <w:r w:rsidRPr="00C47E96">
        <w:rPr>
          <w:rFonts w:ascii="Regular" w:hAnsi="Regular"/>
          <w:color w:val="054A60"/>
          <w:sz w:val="24"/>
          <w:szCs w:val="24"/>
        </w:rPr>
        <w:t>Подать заявление и документы для заключения договора об экспертном со</w:t>
      </w:r>
      <w:r>
        <w:rPr>
          <w:rFonts w:ascii="Regular" w:hAnsi="Regular"/>
          <w:color w:val="054A60"/>
          <w:sz w:val="24"/>
          <w:szCs w:val="24"/>
        </w:rPr>
        <w:t>провождении в электронной форме.</w:t>
      </w:r>
      <w:bookmarkStart w:id="0" w:name="_GoBack"/>
      <w:bookmarkEnd w:id="0"/>
    </w:p>
    <w:p w:rsidR="00C47E96" w:rsidRPr="00C47E96" w:rsidRDefault="00C47E96" w:rsidP="00C47E96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C47E96">
        <w:rPr>
          <w:rFonts w:ascii="Bold" w:hAnsi="Bold"/>
          <w:color w:val="FFFFFF"/>
          <w:sz w:val="68"/>
          <w:szCs w:val="68"/>
          <w:shd w:val="clear" w:color="auto" w:fill="008985"/>
        </w:rPr>
        <w:t>2</w:t>
      </w:r>
      <w:r w:rsidRPr="00C47E96">
        <w:rPr>
          <w:rFonts w:ascii="Bold" w:hAnsi="Bold"/>
          <w:color w:val="054A60"/>
          <w:sz w:val="36"/>
          <w:szCs w:val="36"/>
        </w:rPr>
        <w:t>Направить изменения, внесённые проектную документацию</w:t>
      </w:r>
    </w:p>
    <w:p w:rsidR="00C47E96" w:rsidRPr="00C47E96" w:rsidRDefault="00C47E96" w:rsidP="00C47E96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C47E96">
        <w:rPr>
          <w:rFonts w:ascii="Regular" w:hAnsi="Regular"/>
          <w:color w:val="054A60"/>
          <w:sz w:val="24"/>
          <w:szCs w:val="24"/>
        </w:rPr>
        <w:t xml:space="preserve">Для проведения оценки соответствия изменений в рамках экспертного сопровождения часть проектной документации, в которую внесены изменения и иные необходимые документы </w:t>
      </w:r>
      <w:proofErr w:type="gramStart"/>
      <w:r w:rsidRPr="00C47E96">
        <w:rPr>
          <w:rFonts w:ascii="Regular" w:hAnsi="Regular"/>
          <w:color w:val="054A60"/>
          <w:sz w:val="24"/>
          <w:szCs w:val="24"/>
        </w:rPr>
        <w:t>загрузить</w:t>
      </w:r>
      <w:proofErr w:type="gramEnd"/>
      <w:r w:rsidRPr="00C47E96">
        <w:rPr>
          <w:rFonts w:ascii="Regular" w:hAnsi="Regular"/>
          <w:color w:val="054A60"/>
          <w:sz w:val="24"/>
          <w:szCs w:val="24"/>
        </w:rPr>
        <w:t>, воспользовавшись сервисом «</w:t>
      </w:r>
      <w:hyperlink r:id="rId7" w:tgtFrame="_blank" w:history="1">
        <w:r w:rsidRPr="00C47E96">
          <w:rPr>
            <w:rFonts w:ascii="Regular" w:hAnsi="Regular"/>
            <w:color w:val="004A60"/>
            <w:sz w:val="24"/>
            <w:szCs w:val="24"/>
          </w:rPr>
          <w:t>Личный кабинет</w:t>
        </w:r>
      </w:hyperlink>
      <w:r w:rsidRPr="00C47E96">
        <w:rPr>
          <w:rFonts w:ascii="Regular" w:hAnsi="Regular"/>
          <w:color w:val="054A60"/>
          <w:sz w:val="24"/>
          <w:szCs w:val="24"/>
        </w:rPr>
        <w:t>» на сайте Управления.</w:t>
      </w:r>
    </w:p>
    <w:p w:rsidR="00C47E96" w:rsidRPr="00C47E96" w:rsidRDefault="00C47E96" w:rsidP="00C47E96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C47E96">
        <w:rPr>
          <w:rFonts w:ascii="Bold" w:hAnsi="Bold"/>
          <w:color w:val="FFFFFF"/>
          <w:sz w:val="68"/>
          <w:szCs w:val="68"/>
          <w:shd w:val="clear" w:color="auto" w:fill="008985"/>
        </w:rPr>
        <w:t>3</w:t>
      </w:r>
      <w:r w:rsidRPr="00C47E96">
        <w:rPr>
          <w:rFonts w:ascii="Bold" w:hAnsi="Bold"/>
          <w:color w:val="054A60"/>
          <w:sz w:val="36"/>
          <w:szCs w:val="36"/>
        </w:rPr>
        <w:t>Получить результат</w:t>
      </w:r>
    </w:p>
    <w:p w:rsidR="00C47E96" w:rsidRPr="00C47E96" w:rsidRDefault="00C47E96" w:rsidP="00C47E96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C47E96">
        <w:rPr>
          <w:rFonts w:ascii="Regular" w:hAnsi="Regular"/>
          <w:color w:val="054A60"/>
          <w:sz w:val="24"/>
          <w:szCs w:val="24"/>
        </w:rPr>
        <w:t>Результатом оценки соответствия является заключение, которое будет направлено в </w:t>
      </w:r>
      <w:hyperlink r:id="rId8" w:tgtFrame="_blank" w:history="1">
        <w:r w:rsidRPr="00C47E96">
          <w:rPr>
            <w:rFonts w:ascii="Regular" w:hAnsi="Regular"/>
            <w:color w:val="004A60"/>
            <w:sz w:val="24"/>
            <w:szCs w:val="24"/>
          </w:rPr>
          <w:t>Личный кабинет Заявителя</w:t>
        </w:r>
      </w:hyperlink>
    </w:p>
    <w:p w:rsidR="00C47E96" w:rsidRPr="00C47E96" w:rsidRDefault="00C47E96" w:rsidP="00C47E96">
      <w:pPr>
        <w:shd w:val="clear" w:color="auto" w:fill="F7F8FA"/>
        <w:autoSpaceDE/>
        <w:autoSpaceDN/>
        <w:spacing w:line="390" w:lineRule="atLeast"/>
        <w:rPr>
          <w:sz w:val="24"/>
          <w:szCs w:val="24"/>
        </w:rPr>
      </w:pPr>
      <w:r w:rsidRPr="00C47E96">
        <w:rPr>
          <w:rFonts w:ascii="Bold" w:hAnsi="Bold"/>
          <w:color w:val="FFFFFF"/>
          <w:sz w:val="68"/>
          <w:szCs w:val="68"/>
          <w:shd w:val="clear" w:color="auto" w:fill="008985"/>
        </w:rPr>
        <w:t>4</w:t>
      </w:r>
      <w:r w:rsidRPr="00C47E96">
        <w:rPr>
          <w:rFonts w:ascii="Bold" w:hAnsi="Bold"/>
          <w:color w:val="054A60"/>
          <w:sz w:val="36"/>
          <w:szCs w:val="36"/>
        </w:rPr>
        <w:t>Обратиться за итоговым заключением</w:t>
      </w:r>
    </w:p>
    <w:p w:rsidR="00C47E96" w:rsidRPr="00C47E96" w:rsidRDefault="00C47E96" w:rsidP="00C47E96">
      <w:pPr>
        <w:shd w:val="clear" w:color="auto" w:fill="F7F8FA"/>
        <w:autoSpaceDE/>
        <w:autoSpaceDN/>
        <w:spacing w:after="225" w:line="390" w:lineRule="atLeast"/>
        <w:rPr>
          <w:sz w:val="24"/>
          <w:szCs w:val="24"/>
        </w:rPr>
      </w:pPr>
      <w:r w:rsidRPr="00C47E96">
        <w:rPr>
          <w:rFonts w:ascii="Regular" w:hAnsi="Regular"/>
          <w:color w:val="054A60"/>
          <w:sz w:val="24"/>
          <w:szCs w:val="24"/>
        </w:rPr>
        <w:lastRenderedPageBreak/>
        <w:t>В случае внесения в ходе экспертного сопровождения изменений в проектную документацию, требующих проведения экспертизы проектной документации, заявитель может обратиться за заключением государственной экспертизы по результатам экспертного сопровождения</w:t>
      </w:r>
    </w:p>
    <w:p w:rsidR="00433176" w:rsidRPr="00794078" w:rsidRDefault="00433176" w:rsidP="00794078"/>
    <w:sectPr w:rsidR="00433176" w:rsidRPr="00794078" w:rsidSect="00A616C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238"/>
    <w:multiLevelType w:val="multilevel"/>
    <w:tmpl w:val="32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D47"/>
    <w:multiLevelType w:val="multilevel"/>
    <w:tmpl w:val="0A4E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3410C"/>
    <w:multiLevelType w:val="multilevel"/>
    <w:tmpl w:val="7464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91824"/>
    <w:multiLevelType w:val="multilevel"/>
    <w:tmpl w:val="A3D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004BC"/>
    <w:multiLevelType w:val="multilevel"/>
    <w:tmpl w:val="B0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F4E6E"/>
    <w:multiLevelType w:val="multilevel"/>
    <w:tmpl w:val="2BA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13983"/>
    <w:multiLevelType w:val="multilevel"/>
    <w:tmpl w:val="EC2271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7025698"/>
    <w:multiLevelType w:val="multilevel"/>
    <w:tmpl w:val="818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84405C"/>
    <w:multiLevelType w:val="multilevel"/>
    <w:tmpl w:val="B0E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C4DEE"/>
    <w:multiLevelType w:val="multilevel"/>
    <w:tmpl w:val="E350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F2680C"/>
    <w:multiLevelType w:val="multilevel"/>
    <w:tmpl w:val="B09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1667B"/>
    <w:multiLevelType w:val="multilevel"/>
    <w:tmpl w:val="A4B4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A0B3E"/>
    <w:multiLevelType w:val="multilevel"/>
    <w:tmpl w:val="F9C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4"/>
    <w:rsid w:val="0000443F"/>
    <w:rsid w:val="000F6C53"/>
    <w:rsid w:val="00433176"/>
    <w:rsid w:val="0050069A"/>
    <w:rsid w:val="005205A4"/>
    <w:rsid w:val="00655685"/>
    <w:rsid w:val="006F29BA"/>
    <w:rsid w:val="00794078"/>
    <w:rsid w:val="00795FCE"/>
    <w:rsid w:val="007F367C"/>
    <w:rsid w:val="008750C3"/>
    <w:rsid w:val="00935FB3"/>
    <w:rsid w:val="009717A1"/>
    <w:rsid w:val="00A616C0"/>
    <w:rsid w:val="00A77925"/>
    <w:rsid w:val="00BA0D98"/>
    <w:rsid w:val="00C47E96"/>
    <w:rsid w:val="00CC6A34"/>
    <w:rsid w:val="00D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7E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F29BA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29B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6F29BA"/>
    <w:pPr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9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29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9BA"/>
  </w:style>
  <w:style w:type="character" w:styleId="a3">
    <w:name w:val="Hyperlink"/>
    <w:basedOn w:val="a0"/>
    <w:uiPriority w:val="99"/>
    <w:semiHidden/>
    <w:unhideWhenUsed/>
    <w:rsid w:val="006F2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BA"/>
    <w:rPr>
      <w:color w:val="800080"/>
      <w:u w:val="single"/>
    </w:rPr>
  </w:style>
  <w:style w:type="character" w:customStyle="1" w:styleId="breadcrumb-item">
    <w:name w:val="breadcrumb-item"/>
    <w:basedOn w:val="a0"/>
    <w:rsid w:val="006F29BA"/>
  </w:style>
  <w:style w:type="character" w:customStyle="1" w:styleId="breadcrumb-separator">
    <w:name w:val="breadcrumb-separator"/>
    <w:basedOn w:val="a0"/>
    <w:rsid w:val="006F29BA"/>
  </w:style>
  <w:style w:type="character" w:customStyle="1" w:styleId="entry-date">
    <w:name w:val="entry-date"/>
    <w:basedOn w:val="a0"/>
    <w:rsid w:val="006F29BA"/>
  </w:style>
  <w:style w:type="character" w:customStyle="1" w:styleId="entry-label">
    <w:name w:val="entry-label"/>
    <w:basedOn w:val="a0"/>
    <w:rsid w:val="006F29BA"/>
  </w:style>
  <w:style w:type="character" w:customStyle="1" w:styleId="table-of-contentshide">
    <w:name w:val="table-of-contents__hide"/>
    <w:basedOn w:val="a0"/>
    <w:rsid w:val="006F29BA"/>
  </w:style>
  <w:style w:type="character" w:customStyle="1" w:styleId="bba49b3c6">
    <w:name w:val="bba49b3c6"/>
    <w:basedOn w:val="a0"/>
    <w:rsid w:val="006F29BA"/>
  </w:style>
  <w:style w:type="character" w:customStyle="1" w:styleId="u4b854d5f">
    <w:name w:val="u4b854d5f"/>
    <w:basedOn w:val="a0"/>
    <w:rsid w:val="006F29BA"/>
  </w:style>
  <w:style w:type="character" w:customStyle="1" w:styleId="b9d5860a">
    <w:name w:val="b9d5860a"/>
    <w:basedOn w:val="a0"/>
    <w:rsid w:val="006F29BA"/>
  </w:style>
  <w:style w:type="paragraph" w:styleId="a5">
    <w:name w:val="Normal (Web)"/>
    <w:basedOn w:val="a"/>
    <w:uiPriority w:val="99"/>
    <w:semiHidden/>
    <w:unhideWhenUsed/>
    <w:rsid w:val="006F29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o4ceb4789">
    <w:name w:val="o4ceb4789"/>
    <w:basedOn w:val="a0"/>
    <w:rsid w:val="006F29BA"/>
  </w:style>
  <w:style w:type="character" w:customStyle="1" w:styleId="wb8bb17e9">
    <w:name w:val="wb8bb17e9"/>
    <w:basedOn w:val="a0"/>
    <w:rsid w:val="006F29BA"/>
  </w:style>
  <w:style w:type="character" w:styleId="a6">
    <w:name w:val="Strong"/>
    <w:basedOn w:val="a0"/>
    <w:uiPriority w:val="22"/>
    <w:qFormat/>
    <w:rsid w:val="006F29BA"/>
    <w:rPr>
      <w:b/>
      <w:bCs/>
    </w:rPr>
  </w:style>
  <w:style w:type="character" w:customStyle="1" w:styleId="b2c177be7">
    <w:name w:val="b2c177be7"/>
    <w:basedOn w:val="a0"/>
    <w:rsid w:val="006F29BA"/>
  </w:style>
  <w:style w:type="character" w:customStyle="1" w:styleId="wf70091e1">
    <w:name w:val="wf70091e1"/>
    <w:basedOn w:val="a0"/>
    <w:rsid w:val="006F29BA"/>
  </w:style>
  <w:style w:type="character" w:customStyle="1" w:styleId="ctatext">
    <w:name w:val="ctatext"/>
    <w:basedOn w:val="a0"/>
    <w:rsid w:val="006F29BA"/>
  </w:style>
  <w:style w:type="character" w:customStyle="1" w:styleId="posttitle">
    <w:name w:val="posttitle"/>
    <w:basedOn w:val="a0"/>
    <w:rsid w:val="006F29BA"/>
  </w:style>
  <w:style w:type="character" w:customStyle="1" w:styleId="star-rating-item">
    <w:name w:val="star-rating-item"/>
    <w:basedOn w:val="a0"/>
    <w:rsid w:val="006F29BA"/>
  </w:style>
  <w:style w:type="character" w:customStyle="1" w:styleId="social-button">
    <w:name w:val="social-button"/>
    <w:basedOn w:val="a0"/>
    <w:rsid w:val="006F29B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9BA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6F29B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9BA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9B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"/>
    <w:basedOn w:val="a"/>
    <w:rsid w:val="00A616C0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7E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18" w:space="15" w:color="F2F2F2"/>
                        <w:right w:val="none" w:sz="0" w:space="0" w:color="auto"/>
                      </w:divBdr>
                    </w:div>
                    <w:div w:id="10849150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4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9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5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8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24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24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80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51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74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1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1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23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5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669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2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442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01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87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34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9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2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99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8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8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83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883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9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32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09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036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195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47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3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826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953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33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92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24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76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8056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5701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2818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37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78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060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71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184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39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07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537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9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0762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1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634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985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68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88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58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152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65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776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5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38761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95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7118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15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28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23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3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59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346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813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302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34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951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987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4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8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345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106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6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562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30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5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601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678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71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627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22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5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35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676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269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20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710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243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3694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17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104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2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0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880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2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39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638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3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56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85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32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57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78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16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032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727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956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00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88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15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5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1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00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5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561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540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6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42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3110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996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23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47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424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7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451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39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58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3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349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637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629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32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341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73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92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274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80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1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032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30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459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888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67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412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529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31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397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757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70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104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6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51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791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90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2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382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411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2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07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91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670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274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5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8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5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2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0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355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59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19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719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90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2758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5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8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00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660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000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6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515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22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3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68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495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9897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19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3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97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757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46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7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07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821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31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1614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43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57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9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08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00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05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13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913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443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402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21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88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84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1963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72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2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09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6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8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49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22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81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8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81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87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42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22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8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24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31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51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6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5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4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36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60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29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33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51916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4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0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4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4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8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8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29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7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6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6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006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1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7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78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795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42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892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4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823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91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865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96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180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84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8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342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464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1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7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62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686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32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8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4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6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32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243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169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87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63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850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7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50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8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8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6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654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865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862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2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91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85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7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4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66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251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6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02701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0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0543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9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3105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583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6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2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13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43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35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5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78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315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34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91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3216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61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3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857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421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652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40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67153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7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23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03149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2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2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301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59001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0893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4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5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9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94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3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388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9497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28102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9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8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4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8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299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3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7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642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7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4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06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73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3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7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35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11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48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8122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9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90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0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059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8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46258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2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12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4598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698153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25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79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1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95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42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7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2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1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03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93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6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45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9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7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57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068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684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71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011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2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014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7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164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30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35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522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63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52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915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7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82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8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90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0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4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3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736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95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925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1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50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827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6652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7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773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8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1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36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437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046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011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961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338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49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48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7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4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6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535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5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2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02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19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54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35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31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8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5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238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28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5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70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84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225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2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698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5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0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3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066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250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7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071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19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63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2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83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63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73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00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9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1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42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68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17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2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1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4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1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974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923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575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826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934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0702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44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521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736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51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3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36437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78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5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1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778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98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46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742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89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0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53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3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38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44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46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31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949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89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08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3688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83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56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9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1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6807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47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89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6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0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8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292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770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409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0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79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82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01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51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47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2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14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80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02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0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60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834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5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4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6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78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55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49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6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90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96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4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38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950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18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717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9294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694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9820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75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009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0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2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634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9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290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5525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0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93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43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8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6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482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236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7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7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215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3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3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348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5839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445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687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129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679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20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52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76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5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24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09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737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2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3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09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844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83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15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559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2217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956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16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50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26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37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269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144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882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202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926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42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8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9121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6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9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1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221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86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846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22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7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026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19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3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40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5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528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2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056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293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75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3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15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414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8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1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09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1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617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6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102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4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804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0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698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332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0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402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51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6324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103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8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340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9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8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49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60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27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06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519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4581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80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89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4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56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3934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5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91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9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1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08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702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229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135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6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25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6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7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26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40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12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13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15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83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727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12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6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1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8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0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05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2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62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52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091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5307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86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3853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1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09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4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3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347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7526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49931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3965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86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0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63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8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8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1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31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73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30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85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146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749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92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554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42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782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2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85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769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496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8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6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12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66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73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9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923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24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6690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0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5711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303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533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6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28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8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3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29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72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30127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3886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1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1008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902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3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66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8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1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56438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3736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59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202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9244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05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22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961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7042">
          <w:marLeft w:val="0"/>
          <w:marRight w:val="0"/>
          <w:marTop w:val="0"/>
          <w:marBottom w:val="0"/>
          <w:divBdr>
            <w:top w:val="single" w:sz="6" w:space="23" w:color="86A3AC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4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485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  <w:div w:id="2102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86A3A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expert-s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k.expert-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6F9632547655BEB87CC1CC4DEB24C2A9CFC437CC3108924D018561A6242085D7B99884B513C8AC0B888E6EBm3Y5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</cp:lastModifiedBy>
  <cp:revision>4</cp:revision>
  <cp:lastPrinted>2023-05-02T08:04:00Z</cp:lastPrinted>
  <dcterms:created xsi:type="dcterms:W3CDTF">2023-11-24T06:18:00Z</dcterms:created>
  <dcterms:modified xsi:type="dcterms:W3CDTF">2023-11-24T06:21:00Z</dcterms:modified>
</cp:coreProperties>
</file>